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3DA5" w14:textId="70242883" w:rsidR="001B1B1D" w:rsidRPr="00D07D4C" w:rsidRDefault="00000000" w:rsidP="00D07D4C">
      <w:pPr>
        <w:jc w:val="center"/>
        <w:rPr>
          <w:rFonts w:ascii="Century Gothic" w:hAnsi="Century Gothic" w:cstheme="majorHAnsi"/>
          <w:b/>
          <w:bCs/>
          <w:sz w:val="32"/>
          <w:szCs w:val="32"/>
          <w:lang w:val="en-GB"/>
        </w:rPr>
      </w:pPr>
      <w:r w:rsidRPr="00D07D4C">
        <w:rPr>
          <w:rFonts w:ascii="Century Gothic" w:hAnsi="Century Gothic" w:cstheme="majorHAnsi"/>
          <w:b/>
          <w:bCs/>
          <w:sz w:val="32"/>
          <w:szCs w:val="32"/>
          <w:lang w:val="en-GB"/>
        </w:rPr>
        <w:t xml:space="preserve">Sub Cultures </w:t>
      </w:r>
      <w:r w:rsidR="00171992" w:rsidRPr="00D07D4C">
        <w:rPr>
          <w:rFonts w:ascii="Century Gothic" w:hAnsi="Century Gothic" w:cstheme="majorHAnsi"/>
          <w:b/>
          <w:bCs/>
          <w:sz w:val="32"/>
          <w:szCs w:val="32"/>
          <w:lang w:val="en-GB"/>
        </w:rPr>
        <w:t>and pupil identities</w:t>
      </w:r>
    </w:p>
    <w:p w14:paraId="31170B24" w14:textId="77777777" w:rsidR="001B1B1D" w:rsidRPr="00D07D4C" w:rsidRDefault="001B1B1D" w:rsidP="00D07D4C">
      <w:pPr>
        <w:rPr>
          <w:rFonts w:ascii="Century Gothic" w:hAnsi="Century Gothic" w:cstheme="majorHAnsi"/>
          <w:lang w:val="en-GB"/>
        </w:rPr>
      </w:pPr>
    </w:p>
    <w:p w14:paraId="2D975DD2" w14:textId="00AD2582" w:rsidR="0023768A" w:rsidRPr="00D07D4C" w:rsidRDefault="00B50D25" w:rsidP="00D07D4C">
      <w:pPr>
        <w:rPr>
          <w:rFonts w:ascii="Century Gothic" w:hAnsi="Century Gothic" w:cstheme="majorHAnsi"/>
          <w:lang w:val="en-GB"/>
        </w:rPr>
      </w:pPr>
      <w:r w:rsidRPr="00D07D4C">
        <w:rPr>
          <w:rFonts w:ascii="Century Gothic" w:hAnsi="Century Gothic" w:cstheme="majorHAnsi"/>
          <w:lang w:val="en-GB"/>
        </w:rPr>
        <w:t>In this section, we will delve into the topic of pupil identities and subcultures. This subject builds upon the previous section you studied on roles and processes, which explored the concept of labelling and the labelling process, as well as groupings within the classroom and school environment. Our focus will be on the consequences of these groupings and labelling processes, which can influence the formation of subcultures and prompt students to join either pro-school or anti-school subcultures. This will enable us to explore how these processes contribute to the shaping of pupil identities. Throughout the section, we will draw on the insights of sociologists who have investigated this topic</w:t>
      </w:r>
    </w:p>
    <w:p w14:paraId="6AC8DF83" w14:textId="49730122" w:rsidR="001861E0" w:rsidRPr="002644AB" w:rsidRDefault="00000000" w:rsidP="00D07D4C">
      <w:pPr>
        <w:rPr>
          <w:rFonts w:ascii="Century Gothic" w:hAnsi="Century Gothic" w:cstheme="majorHAnsi"/>
          <w:b/>
          <w:bCs/>
          <w:lang w:val="en-GB"/>
        </w:rPr>
      </w:pPr>
      <w:r w:rsidRPr="002644AB">
        <w:rPr>
          <w:rFonts w:ascii="Century Gothic" w:hAnsi="Century Gothic" w:cstheme="majorHAnsi"/>
          <w:b/>
          <w:bCs/>
          <w:lang w:val="en-GB"/>
        </w:rPr>
        <w:t xml:space="preserve"> </w:t>
      </w:r>
      <w:r w:rsidR="002644AB" w:rsidRPr="002644AB">
        <w:rPr>
          <w:rFonts w:ascii="Century Gothic" w:hAnsi="Century Gothic" w:cstheme="majorHAnsi"/>
          <w:b/>
          <w:bCs/>
          <w:lang w:val="en-GB"/>
        </w:rPr>
        <w:t>SUBCULTURES</w:t>
      </w:r>
    </w:p>
    <w:p w14:paraId="6F291494" w14:textId="29B76F01" w:rsidR="003018D7" w:rsidRPr="00D07D4C" w:rsidRDefault="00C86FDA" w:rsidP="00D07D4C">
      <w:pPr>
        <w:rPr>
          <w:rFonts w:ascii="Century Gothic" w:hAnsi="Century Gothic" w:cstheme="majorHAnsi"/>
          <w:lang w:val="en-GB"/>
        </w:rPr>
      </w:pPr>
      <w:r w:rsidRPr="00D07D4C">
        <w:rPr>
          <w:rFonts w:ascii="Century Gothic" w:hAnsi="Century Gothic" w:cstheme="majorHAnsi"/>
          <w:lang w:val="en-GB"/>
        </w:rPr>
        <w:t xml:space="preserve">In the 1970s, Colin Lacey conducted research on the effects of labelling in schools. Lacey argued that labelling, which is often unconscious, can lead to the creation of pupil subcultures as a response. However, these subcultures are not the same as the cliques often depicted in American TV shows and movies, such as jocks or band geeks. Rather, they are characterized by pro and anti-school attitudes. Lacey identified two factors that contribute to the formation of pupil subcultures: differentiation and polarisation. Differentiation refers to the practice of teachers categorising pupils according to ability, attitude or behaviour, which leads to the separation of students into different groupings such as streaming in class groupings, mixed ability groupings, and the like. Polarisation, on the other hand, is the process in which students respond to differentiation by moving towards one or more polar opposites or extremes. Thus, some students become pro-school, while others become anti-school. It is important to note that not all students fall into either of these groups, as some simply exist without standing out for excellence or poor behaviour. These students are often referred to as "gliders" who quietly make their way through the education system. </w:t>
      </w:r>
    </w:p>
    <w:p w14:paraId="598ABD4C" w14:textId="77777777" w:rsidR="00C86FDA" w:rsidRPr="00D07D4C" w:rsidRDefault="00C86FDA" w:rsidP="00D07D4C">
      <w:pPr>
        <w:rPr>
          <w:rFonts w:ascii="Century Gothic" w:hAnsi="Century Gothic" w:cstheme="majorHAnsi"/>
          <w:lang w:val="en-GB"/>
        </w:rPr>
      </w:pPr>
    </w:p>
    <w:p w14:paraId="63057FF6" w14:textId="4FCB79F7" w:rsidR="003018D7" w:rsidRPr="002644AB" w:rsidRDefault="00C86FDA" w:rsidP="00D07D4C">
      <w:pPr>
        <w:rPr>
          <w:rFonts w:ascii="Century Gothic" w:hAnsi="Century Gothic" w:cstheme="majorHAnsi"/>
          <w:b/>
          <w:bCs/>
          <w:lang w:val="en-GB"/>
        </w:rPr>
      </w:pPr>
      <w:r w:rsidRPr="002644AB">
        <w:rPr>
          <w:rFonts w:ascii="Century Gothic" w:hAnsi="Century Gothic" w:cstheme="majorHAnsi"/>
          <w:b/>
          <w:bCs/>
          <w:lang w:val="en-GB"/>
        </w:rPr>
        <w:t xml:space="preserve">PRO-SCHOOL SUBCULTURES </w:t>
      </w:r>
    </w:p>
    <w:p w14:paraId="121CB991" w14:textId="6372C33F" w:rsidR="006A6632" w:rsidRPr="00D07D4C" w:rsidRDefault="000B1454" w:rsidP="00D07D4C">
      <w:pPr>
        <w:rPr>
          <w:rFonts w:ascii="Century Gothic" w:hAnsi="Century Gothic" w:cstheme="majorHAnsi"/>
          <w:lang w:val="en-GB"/>
        </w:rPr>
      </w:pPr>
      <w:r w:rsidRPr="00D07D4C">
        <w:rPr>
          <w:rFonts w:ascii="Century Gothic" w:hAnsi="Century Gothic" w:cstheme="majorHAnsi"/>
          <w:lang w:val="en-GB"/>
        </w:rPr>
        <w:t>In sociology, the term "pro-school subculture" refers to a group of students who exhibit exceptional academic performance and are fully committed to the values of their educational institution. These students attain their status and social standing through academic achievement, typically by obtaining outstanding grades such as A's, A</w:t>
      </w:r>
      <w:r w:rsidRPr="00D07D4C">
        <w:rPr>
          <w:rFonts w:ascii="Century Gothic" w:hAnsi="Century Gothic" w:cstheme="majorHAnsi"/>
          <w:lang w:val="en-GB"/>
        </w:rPr>
        <w:t>*</w:t>
      </w:r>
      <w:r w:rsidR="00D35BF4" w:rsidRPr="00D07D4C">
        <w:rPr>
          <w:rFonts w:ascii="Century Gothic" w:hAnsi="Century Gothic" w:cstheme="majorHAnsi"/>
          <w:lang w:val="en-GB"/>
        </w:rPr>
        <w:t xml:space="preserve"> at A Level and grades</w:t>
      </w:r>
      <w:r w:rsidRPr="00D07D4C">
        <w:rPr>
          <w:rFonts w:ascii="Century Gothic" w:hAnsi="Century Gothic" w:cstheme="majorHAnsi"/>
          <w:lang w:val="en-GB"/>
        </w:rPr>
        <w:t xml:space="preserve"> </w:t>
      </w:r>
      <w:r w:rsidR="00D35BF4" w:rsidRPr="00D07D4C">
        <w:rPr>
          <w:rFonts w:ascii="Century Gothic" w:hAnsi="Century Gothic" w:cstheme="majorHAnsi"/>
          <w:lang w:val="en-GB"/>
        </w:rPr>
        <w:t>eight an</w:t>
      </w:r>
      <w:r w:rsidRPr="00D07D4C">
        <w:rPr>
          <w:rFonts w:ascii="Century Gothic" w:hAnsi="Century Gothic" w:cstheme="majorHAnsi"/>
          <w:lang w:val="en-GB"/>
        </w:rPr>
        <w:t>d nine</w:t>
      </w:r>
      <w:r w:rsidR="00D35BF4" w:rsidRPr="00D07D4C">
        <w:rPr>
          <w:rFonts w:ascii="Century Gothic" w:hAnsi="Century Gothic" w:cstheme="majorHAnsi"/>
          <w:lang w:val="en-GB"/>
        </w:rPr>
        <w:t xml:space="preserve"> at GCSE</w:t>
      </w:r>
      <w:r w:rsidRPr="00D07D4C">
        <w:rPr>
          <w:rFonts w:ascii="Century Gothic" w:hAnsi="Century Gothic" w:cstheme="majorHAnsi"/>
          <w:lang w:val="en-GB"/>
        </w:rPr>
        <w:t>. However, there are also students who do not necessarily excel academically but participate in various school activities, such as school council, bands, orchestras, and sports teams, and are thus classified as "new enterprise</w:t>
      </w:r>
      <w:r w:rsidR="001640A4" w:rsidRPr="00D07D4C">
        <w:rPr>
          <w:rFonts w:ascii="Century Gothic" w:hAnsi="Century Gothic" w:cstheme="majorHAnsi"/>
          <w:lang w:val="en-GB"/>
        </w:rPr>
        <w:t>r</w:t>
      </w:r>
      <w:r w:rsidRPr="00D07D4C">
        <w:rPr>
          <w:rFonts w:ascii="Century Gothic" w:hAnsi="Century Gothic" w:cstheme="majorHAnsi"/>
          <w:lang w:val="en-GB"/>
        </w:rPr>
        <w:t xml:space="preserve">s." These individuals are actively involved in the wider school community and are often admired by their peers, teachers, and parents. They are seen as the epitome of a model student, belonging to </w:t>
      </w:r>
      <w:r w:rsidRPr="00D07D4C">
        <w:rPr>
          <w:rFonts w:ascii="Century Gothic" w:hAnsi="Century Gothic" w:cstheme="majorHAnsi"/>
          <w:lang w:val="en-GB"/>
        </w:rPr>
        <w:lastRenderedPageBreak/>
        <w:t xml:space="preserve">multiple extracurricular groups, and are often the lead performers in school plays and orchestras. Their participation in sporting events is also notable, as they are typically selected for the first teams. These students often volunteer for open events, and their </w:t>
      </w:r>
      <w:r w:rsidR="00D35BF4" w:rsidRPr="00D07D4C">
        <w:rPr>
          <w:rFonts w:ascii="Century Gothic" w:hAnsi="Century Gothic" w:cstheme="majorHAnsi"/>
          <w:lang w:val="en-GB"/>
        </w:rPr>
        <w:t>behaviour</w:t>
      </w:r>
      <w:r w:rsidRPr="00D07D4C">
        <w:rPr>
          <w:rFonts w:ascii="Century Gothic" w:hAnsi="Century Gothic" w:cstheme="majorHAnsi"/>
          <w:lang w:val="en-GB"/>
        </w:rPr>
        <w:t xml:space="preserve"> is marked by a friendly and approachable </w:t>
      </w:r>
      <w:r w:rsidR="00D35BF4" w:rsidRPr="00D07D4C">
        <w:rPr>
          <w:rFonts w:ascii="Century Gothic" w:hAnsi="Century Gothic" w:cstheme="majorHAnsi"/>
          <w:lang w:val="en-GB"/>
        </w:rPr>
        <w:t>demeanour</w:t>
      </w:r>
      <w:r w:rsidRPr="00D07D4C">
        <w:rPr>
          <w:rFonts w:ascii="Century Gothic" w:hAnsi="Century Gothic" w:cstheme="majorHAnsi"/>
          <w:lang w:val="en-GB"/>
        </w:rPr>
        <w:t xml:space="preserve">, which engenders admiration and respect. </w:t>
      </w:r>
      <w:r w:rsidR="006A6632" w:rsidRPr="00D07D4C">
        <w:rPr>
          <w:rFonts w:ascii="Century Gothic" w:hAnsi="Century Gothic" w:cstheme="majorHAnsi"/>
          <w:lang w:val="en-GB"/>
        </w:rPr>
        <w:t>T</w:t>
      </w:r>
      <w:r w:rsidR="006A6632" w:rsidRPr="00D07D4C">
        <w:rPr>
          <w:rFonts w:ascii="Century Gothic" w:hAnsi="Century Gothic" w:cstheme="majorHAnsi"/>
          <w:lang w:val="en-GB"/>
        </w:rPr>
        <w:t xml:space="preserve">he pro-school subculture consists of individuals who are invested in their education and strive to achieve high grades. These individuals are often </w:t>
      </w:r>
      <w:r w:rsidR="002644AB" w:rsidRPr="00D07D4C">
        <w:rPr>
          <w:rFonts w:ascii="Century Gothic" w:hAnsi="Century Gothic" w:cstheme="majorHAnsi"/>
          <w:lang w:val="en-GB"/>
        </w:rPr>
        <w:t>labelled</w:t>
      </w:r>
      <w:r w:rsidR="006A6632" w:rsidRPr="00D07D4C">
        <w:rPr>
          <w:rFonts w:ascii="Century Gothic" w:hAnsi="Century Gothic" w:cstheme="majorHAnsi"/>
          <w:lang w:val="en-GB"/>
        </w:rPr>
        <w:t xml:space="preserve"> positively, which leads to their internalization of a positive self-concept and a desire to succeed academically. The desire for academic achievement is seen as desirable within the pro-school subculture, and anything less than a top grade is deemed disappointing.</w:t>
      </w:r>
    </w:p>
    <w:p w14:paraId="0F0A6D77" w14:textId="77777777" w:rsidR="002644AB" w:rsidRDefault="002644AB" w:rsidP="00D07D4C">
      <w:pPr>
        <w:rPr>
          <w:rFonts w:ascii="Century Gothic" w:hAnsi="Century Gothic" w:cstheme="majorHAnsi"/>
          <w:b/>
          <w:bCs/>
          <w:lang w:val="en-GB"/>
        </w:rPr>
      </w:pPr>
    </w:p>
    <w:p w14:paraId="09F08304" w14:textId="1836F2B9" w:rsidR="003018D7" w:rsidRPr="002644AB" w:rsidRDefault="0091485E" w:rsidP="00D07D4C">
      <w:pPr>
        <w:rPr>
          <w:rFonts w:ascii="Century Gothic" w:hAnsi="Century Gothic" w:cstheme="majorHAnsi"/>
          <w:b/>
          <w:bCs/>
          <w:lang w:val="en-GB"/>
        </w:rPr>
      </w:pPr>
      <w:r w:rsidRPr="002644AB">
        <w:rPr>
          <w:rFonts w:ascii="Century Gothic" w:hAnsi="Century Gothic" w:cstheme="majorHAnsi"/>
          <w:b/>
          <w:bCs/>
          <w:lang w:val="en-GB"/>
        </w:rPr>
        <w:t>ANTI SCHOOL SUBCULTURE</w:t>
      </w:r>
    </w:p>
    <w:p w14:paraId="2A3BAEB5" w14:textId="2FD2DE4B" w:rsidR="001621C6" w:rsidRPr="00D07D4C" w:rsidRDefault="001621C6" w:rsidP="00D07D4C">
      <w:pPr>
        <w:rPr>
          <w:rFonts w:ascii="Century Gothic" w:hAnsi="Century Gothic" w:cstheme="majorHAnsi"/>
          <w:lang w:val="en-GB"/>
        </w:rPr>
      </w:pPr>
      <w:r w:rsidRPr="00D07D4C">
        <w:rPr>
          <w:rFonts w:ascii="Century Gothic" w:hAnsi="Century Gothic" w:cstheme="majorHAnsi"/>
          <w:lang w:val="en-GB"/>
        </w:rPr>
        <w:t xml:space="preserve">In sociology, there are different subcultures that exist in schools. One such subculture is the anti-school subculture, which is the polar opposite of the pro-school subculture. The individuals who belong to this subculture reject the values of school, are often absent, display disruptive </w:t>
      </w:r>
      <w:r w:rsidR="002644AB" w:rsidRPr="00D07D4C">
        <w:rPr>
          <w:rFonts w:ascii="Century Gothic" w:hAnsi="Century Gothic" w:cstheme="majorHAnsi"/>
          <w:lang w:val="en-GB"/>
        </w:rPr>
        <w:t>behaviour</w:t>
      </w:r>
      <w:r w:rsidRPr="00D07D4C">
        <w:rPr>
          <w:rFonts w:ascii="Century Gothic" w:hAnsi="Century Gothic" w:cstheme="majorHAnsi"/>
          <w:lang w:val="en-GB"/>
        </w:rPr>
        <w:t xml:space="preserve">, fail to complete homework, and do not comply with uniform guidelines. These individuals seek approval and recognition from their peers by demonstrating challenging and disruptive </w:t>
      </w:r>
      <w:r w:rsidR="002644AB" w:rsidRPr="00D07D4C">
        <w:rPr>
          <w:rFonts w:ascii="Century Gothic" w:hAnsi="Century Gothic" w:cstheme="majorHAnsi"/>
          <w:lang w:val="en-GB"/>
        </w:rPr>
        <w:t>behaviour</w:t>
      </w:r>
      <w:r w:rsidRPr="00D07D4C">
        <w:rPr>
          <w:rFonts w:ascii="Century Gothic" w:hAnsi="Century Gothic" w:cstheme="majorHAnsi"/>
          <w:lang w:val="en-GB"/>
        </w:rPr>
        <w:t>, such as calling out inappropriately during lessons or attempting to embarrass teachers. They tend to take advantage of supply teachers, as they believe they can evade consequences. The anti-school subculture is characterized by a clear disdain for school and education in general. These individuals do not see the point in putting effort into their studies, as they do not believe that achieving high grades is important for their future.</w:t>
      </w:r>
    </w:p>
    <w:p w14:paraId="4EAA2554" w14:textId="0000288D" w:rsidR="001621C6" w:rsidRPr="00D07D4C" w:rsidRDefault="001621C6" w:rsidP="00D07D4C">
      <w:pPr>
        <w:rPr>
          <w:rFonts w:ascii="Century Gothic" w:hAnsi="Century Gothic" w:cstheme="majorHAnsi"/>
          <w:lang w:val="en-GB"/>
        </w:rPr>
      </w:pPr>
      <w:r w:rsidRPr="00D07D4C">
        <w:rPr>
          <w:rFonts w:ascii="Century Gothic" w:hAnsi="Century Gothic" w:cstheme="majorHAnsi"/>
          <w:lang w:val="en-GB"/>
        </w:rPr>
        <w:t xml:space="preserve">Those who belong to the anti-school subculture are often at risk of exclusion and are more likely to underachieve in their education. This can be attributed to the negative labels that they receive, such as being </w:t>
      </w:r>
      <w:r w:rsidR="002644AB" w:rsidRPr="00D07D4C">
        <w:rPr>
          <w:rFonts w:ascii="Century Gothic" w:hAnsi="Century Gothic" w:cstheme="majorHAnsi"/>
          <w:lang w:val="en-GB"/>
        </w:rPr>
        <w:t>labelled</w:t>
      </w:r>
      <w:r w:rsidRPr="00D07D4C">
        <w:rPr>
          <w:rFonts w:ascii="Century Gothic" w:hAnsi="Century Gothic" w:cstheme="majorHAnsi"/>
          <w:lang w:val="en-GB"/>
        </w:rPr>
        <w:t xml:space="preserve"> as a bad student, troublesome, or disruptive. When these individuals internalize these negative labels, they may begin to see themselves as incapable of academic success.</w:t>
      </w:r>
    </w:p>
    <w:p w14:paraId="35507833" w14:textId="569889E3" w:rsidR="001621C6" w:rsidRPr="00D07D4C" w:rsidRDefault="001621C6" w:rsidP="00D07D4C">
      <w:pPr>
        <w:rPr>
          <w:rFonts w:ascii="Century Gothic" w:hAnsi="Century Gothic" w:cstheme="majorHAnsi"/>
          <w:lang w:val="en-GB"/>
        </w:rPr>
      </w:pPr>
      <w:r w:rsidRPr="00D07D4C">
        <w:rPr>
          <w:rFonts w:ascii="Century Gothic" w:hAnsi="Century Gothic" w:cstheme="majorHAnsi"/>
          <w:lang w:val="en-GB"/>
        </w:rPr>
        <w:t xml:space="preserve">It is important to note that belonging to either subculture can impact academic achievement. Research has shown that those who subscribe to a pro-school subculture tend to achieve higher academic success, while those who are part of an anti-school subculture are more likely to underachieve. </w:t>
      </w:r>
    </w:p>
    <w:p w14:paraId="534F25E3" w14:textId="77777777" w:rsidR="007B0D15" w:rsidRPr="00D07D4C" w:rsidRDefault="007B0D15" w:rsidP="00D07D4C">
      <w:pPr>
        <w:rPr>
          <w:rFonts w:ascii="Century Gothic" w:hAnsi="Century Gothic" w:cstheme="majorHAnsi"/>
          <w:lang w:val="en-GB"/>
        </w:rPr>
      </w:pPr>
    </w:p>
    <w:p w14:paraId="63516BF4" w14:textId="12F1FC06" w:rsidR="007B0D15" w:rsidRPr="002644AB" w:rsidRDefault="007B0D15" w:rsidP="00D07D4C">
      <w:pPr>
        <w:rPr>
          <w:rFonts w:ascii="Century Gothic" w:hAnsi="Century Gothic" w:cstheme="majorHAnsi"/>
          <w:b/>
          <w:bCs/>
          <w:lang w:val="en-GB"/>
        </w:rPr>
      </w:pPr>
      <w:r w:rsidRPr="002644AB">
        <w:rPr>
          <w:rFonts w:ascii="Century Gothic" w:hAnsi="Century Gothic" w:cstheme="majorHAnsi"/>
          <w:b/>
          <w:bCs/>
          <w:lang w:val="en-GB"/>
        </w:rPr>
        <w:t xml:space="preserve">EVALUATION </w:t>
      </w:r>
    </w:p>
    <w:p w14:paraId="13B2FE43" w14:textId="7F03E2A3" w:rsidR="003306EC" w:rsidRPr="00D07D4C" w:rsidRDefault="007E56E7" w:rsidP="00D07D4C">
      <w:pPr>
        <w:rPr>
          <w:rFonts w:ascii="Century Gothic" w:hAnsi="Century Gothic" w:cstheme="majorHAnsi"/>
          <w:lang w:val="en-GB"/>
        </w:rPr>
      </w:pPr>
      <w:r w:rsidRPr="00D07D4C">
        <w:rPr>
          <w:rFonts w:ascii="Century Gothic" w:hAnsi="Century Gothic" w:cstheme="majorHAnsi"/>
          <w:lang w:val="en-GB"/>
        </w:rPr>
        <w:t xml:space="preserve">It is important to note that the process of negative </w:t>
      </w:r>
      <w:r w:rsidR="002644AB" w:rsidRPr="00D07D4C">
        <w:rPr>
          <w:rFonts w:ascii="Century Gothic" w:hAnsi="Century Gothic" w:cstheme="majorHAnsi"/>
          <w:lang w:val="en-GB"/>
        </w:rPr>
        <w:t>labelling</w:t>
      </w:r>
      <w:r w:rsidRPr="00D07D4C">
        <w:rPr>
          <w:rFonts w:ascii="Century Gothic" w:hAnsi="Century Gothic" w:cstheme="majorHAnsi"/>
          <w:lang w:val="en-GB"/>
        </w:rPr>
        <w:t xml:space="preserve"> is not guaranteed to lead to underachievement or the development of an anti-school subculture. Research has shown that some individuals, particularly black girls, may reject negative labels and adopt a mentality of proving their teachers and school wrong. Margaret Fuller's study in 1984 of black girls in a </w:t>
      </w:r>
      <w:r w:rsidRPr="00D07D4C">
        <w:rPr>
          <w:rFonts w:ascii="Century Gothic" w:hAnsi="Century Gothic" w:cstheme="majorHAnsi"/>
          <w:lang w:val="en-GB"/>
        </w:rPr>
        <w:lastRenderedPageBreak/>
        <w:t>London comprehensive found that instead of accepting negative labels such as being loud and aggressive, these girls took on a "I'm going to prove you wrong" mentality and worked hard to achieve academic excellence. While they still formed an anti-school subculture, their approach to it differed from the aggressive anti-school subcultures identified by Mac an Ghaill, such as the macho lads. Other individuals, such as the new enterprise</w:t>
      </w:r>
      <w:r w:rsidRPr="00D07D4C">
        <w:rPr>
          <w:rFonts w:ascii="Century Gothic" w:hAnsi="Century Gothic" w:cstheme="majorHAnsi"/>
          <w:lang w:val="en-GB"/>
        </w:rPr>
        <w:t>r</w:t>
      </w:r>
      <w:r w:rsidRPr="00D07D4C">
        <w:rPr>
          <w:rFonts w:ascii="Century Gothic" w:hAnsi="Century Gothic" w:cstheme="majorHAnsi"/>
          <w:lang w:val="en-GB"/>
        </w:rPr>
        <w:t>s, may not prioritize traditional academic excellence but instead seek vocational qualifications as a means to success. Gender also plays a role in the development of anti-school subcultures, with girls exhibiting a more feminized approach that focuses on romantic relationships and the idea that academic qualifications are not necessary if they can find a partner to take care of them. These findings highlight the complexity of pro and anti-school subcultures and suggest that the dynamics involved are not as simple as a binary categorization. Lacey, for example, has pointed out that the gendered nature of anti-school subcultures is far more nuanced than previously believed.</w:t>
      </w:r>
    </w:p>
    <w:p w14:paraId="10A1F4D5" w14:textId="6D760FCE" w:rsidR="002C0304" w:rsidRPr="00D07D4C" w:rsidRDefault="002C0304" w:rsidP="00D07D4C">
      <w:pPr>
        <w:rPr>
          <w:rFonts w:ascii="Century Gothic" w:hAnsi="Century Gothic" w:cstheme="majorHAnsi"/>
          <w:lang w:val="en-GB"/>
        </w:rPr>
      </w:pPr>
      <w:r w:rsidRPr="00D07D4C">
        <w:rPr>
          <w:rFonts w:ascii="Century Gothic" w:hAnsi="Century Gothic" w:cstheme="majorHAnsi"/>
          <w:lang w:val="en-GB"/>
        </w:rPr>
        <w:t xml:space="preserve">One of the criticisms of the </w:t>
      </w:r>
      <w:r w:rsidR="002644AB" w:rsidRPr="00D07D4C">
        <w:rPr>
          <w:rFonts w:ascii="Century Gothic" w:hAnsi="Century Gothic" w:cstheme="majorHAnsi"/>
          <w:lang w:val="en-GB"/>
        </w:rPr>
        <w:t>labelling</w:t>
      </w:r>
      <w:r w:rsidRPr="00D07D4C">
        <w:rPr>
          <w:rFonts w:ascii="Century Gothic" w:hAnsi="Century Gothic" w:cstheme="majorHAnsi"/>
          <w:lang w:val="en-GB"/>
        </w:rPr>
        <w:t xml:space="preserve"> theory that leads to subcultures is its determinism. The theory posits that the label attached to an individual causes them to become a member of a particular subculture. However, this approach takes away the freedom of choice from the individual, as noted by sociologist Margaret Fuller. The theory also overstates the autonomous power of teachers to influence and affect students while ignoring the role of power dynamics. Schools often encourage teachers to label students through various means, such as target grades, which inform teachers about students' grades and create a predisposition to label students accordingly. This notion of teacher agency, therefore, exaggerates the role that teachers play in the </w:t>
      </w:r>
      <w:r w:rsidR="002644AB" w:rsidRPr="00D07D4C">
        <w:rPr>
          <w:rFonts w:ascii="Century Gothic" w:hAnsi="Century Gothic" w:cstheme="majorHAnsi"/>
          <w:lang w:val="en-GB"/>
        </w:rPr>
        <w:t>labelling</w:t>
      </w:r>
      <w:r w:rsidRPr="00D07D4C">
        <w:rPr>
          <w:rFonts w:ascii="Century Gothic" w:hAnsi="Century Gothic" w:cstheme="majorHAnsi"/>
          <w:lang w:val="en-GB"/>
        </w:rPr>
        <w:t xml:space="preserve"> process. Finally, changes have occurred in education, including shifts in teacher training that raise awareness of unconscious biases and the </w:t>
      </w:r>
      <w:r w:rsidR="002644AB" w:rsidRPr="00D07D4C">
        <w:rPr>
          <w:rFonts w:ascii="Century Gothic" w:hAnsi="Century Gothic" w:cstheme="majorHAnsi"/>
          <w:lang w:val="en-GB"/>
        </w:rPr>
        <w:t>labelling</w:t>
      </w:r>
      <w:r w:rsidRPr="00D07D4C">
        <w:rPr>
          <w:rFonts w:ascii="Century Gothic" w:hAnsi="Century Gothic" w:cstheme="majorHAnsi"/>
          <w:lang w:val="en-GB"/>
        </w:rPr>
        <w:t xml:space="preserve"> process. As a result, teachers are now more aware of the impact of </w:t>
      </w:r>
      <w:r w:rsidR="002644AB" w:rsidRPr="00D07D4C">
        <w:rPr>
          <w:rFonts w:ascii="Century Gothic" w:hAnsi="Century Gothic" w:cstheme="majorHAnsi"/>
          <w:lang w:val="en-GB"/>
        </w:rPr>
        <w:t>labelling</w:t>
      </w:r>
      <w:r w:rsidRPr="00D07D4C">
        <w:rPr>
          <w:rFonts w:ascii="Century Gothic" w:hAnsi="Century Gothic" w:cstheme="majorHAnsi"/>
          <w:lang w:val="en-GB"/>
        </w:rPr>
        <w:t xml:space="preserve">, which can influence their </w:t>
      </w:r>
      <w:r w:rsidR="002644AB" w:rsidRPr="00D07D4C">
        <w:rPr>
          <w:rFonts w:ascii="Century Gothic" w:hAnsi="Century Gothic" w:cstheme="majorHAnsi"/>
          <w:lang w:val="en-GB"/>
        </w:rPr>
        <w:t>behaviour</w:t>
      </w:r>
      <w:r w:rsidRPr="00D07D4C">
        <w:rPr>
          <w:rFonts w:ascii="Century Gothic" w:hAnsi="Century Gothic" w:cstheme="majorHAnsi"/>
          <w:lang w:val="en-GB"/>
        </w:rPr>
        <w:t xml:space="preserve"> towards students. As a quote goes, "if you believe something to be true, you will behave as if it is true," highlighting the positive and negative impact of </w:t>
      </w:r>
      <w:r w:rsidR="002644AB" w:rsidRPr="00D07D4C">
        <w:rPr>
          <w:rFonts w:ascii="Century Gothic" w:hAnsi="Century Gothic" w:cstheme="majorHAnsi"/>
          <w:lang w:val="en-GB"/>
        </w:rPr>
        <w:t>labelling</w:t>
      </w:r>
      <w:r w:rsidRPr="00D07D4C">
        <w:rPr>
          <w:rFonts w:ascii="Century Gothic" w:hAnsi="Century Gothic" w:cstheme="majorHAnsi"/>
          <w:lang w:val="en-GB"/>
        </w:rPr>
        <w:t xml:space="preserve"> on student </w:t>
      </w:r>
      <w:r w:rsidR="002644AB" w:rsidRPr="00D07D4C">
        <w:rPr>
          <w:rFonts w:ascii="Century Gothic" w:hAnsi="Century Gothic" w:cstheme="majorHAnsi"/>
          <w:lang w:val="en-GB"/>
        </w:rPr>
        <w:t>behaviour</w:t>
      </w:r>
      <w:r w:rsidRPr="00D07D4C">
        <w:rPr>
          <w:rFonts w:ascii="Century Gothic" w:hAnsi="Century Gothic" w:cstheme="majorHAnsi"/>
          <w:lang w:val="en-GB"/>
        </w:rPr>
        <w:t>.</w:t>
      </w:r>
    </w:p>
    <w:p w14:paraId="677D16CC" w14:textId="77777777" w:rsidR="002644AB" w:rsidRDefault="002644AB" w:rsidP="00D07D4C">
      <w:pPr>
        <w:rPr>
          <w:rFonts w:ascii="Century Gothic" w:hAnsi="Century Gothic" w:cstheme="majorHAnsi"/>
          <w:lang w:val="en-GB"/>
        </w:rPr>
      </w:pPr>
    </w:p>
    <w:p w14:paraId="36423C13" w14:textId="75EAA049" w:rsidR="00D341C5" w:rsidRPr="002644AB" w:rsidRDefault="002644AB" w:rsidP="00D07D4C">
      <w:pPr>
        <w:rPr>
          <w:rFonts w:ascii="Century Gothic" w:hAnsi="Century Gothic" w:cstheme="majorHAnsi"/>
          <w:b/>
          <w:bCs/>
          <w:sz w:val="24"/>
          <w:szCs w:val="24"/>
          <w:lang w:val="en-GB"/>
        </w:rPr>
      </w:pPr>
      <w:r w:rsidRPr="002644AB">
        <w:rPr>
          <w:rFonts w:ascii="Century Gothic" w:hAnsi="Century Gothic" w:cstheme="majorHAnsi"/>
          <w:b/>
          <w:bCs/>
          <w:sz w:val="24"/>
          <w:szCs w:val="24"/>
          <w:lang w:val="en-GB"/>
        </w:rPr>
        <w:t xml:space="preserve">STUDENT IDENTITIES </w:t>
      </w:r>
    </w:p>
    <w:p w14:paraId="6DDC9C9B" w14:textId="77777777" w:rsidR="006F62BB" w:rsidRPr="00D07D4C" w:rsidRDefault="006F62BB" w:rsidP="00D07D4C">
      <w:pPr>
        <w:rPr>
          <w:rFonts w:ascii="Century Gothic" w:hAnsi="Century Gothic" w:cstheme="majorHAnsi"/>
          <w:lang w:val="en-GB"/>
        </w:rPr>
      </w:pPr>
      <w:r w:rsidRPr="00D07D4C">
        <w:rPr>
          <w:rFonts w:ascii="Century Gothic" w:hAnsi="Century Gothic" w:cstheme="majorHAnsi"/>
          <w:lang w:val="en-GB"/>
        </w:rPr>
        <w:t>Let us now shift our focus towards examining the ways in which schools influence the formation of pupil identities. Pupil identities refer to how students perceive themselves as learners, which can impact their self-concept throughout their lives. For instance, a student who is placed in a low maths set may view themselves as incapable of excelling in mathematics, a belief that may persist into adulthood. This phenomenon is not unique to maths but can be observed across subjects.</w:t>
      </w:r>
    </w:p>
    <w:p w14:paraId="4370EA1C" w14:textId="77777777" w:rsidR="006F62BB" w:rsidRPr="00D07D4C" w:rsidRDefault="006F62BB" w:rsidP="00D07D4C">
      <w:pPr>
        <w:rPr>
          <w:rFonts w:ascii="Century Gothic" w:hAnsi="Century Gothic" w:cstheme="majorHAnsi"/>
          <w:lang w:val="en-GB"/>
        </w:rPr>
      </w:pPr>
      <w:r w:rsidRPr="00D07D4C">
        <w:rPr>
          <w:rFonts w:ascii="Century Gothic" w:hAnsi="Century Gothic" w:cstheme="majorHAnsi"/>
          <w:lang w:val="en-GB"/>
        </w:rPr>
        <w:t xml:space="preserve">The notion of pupil identities, particularly in subcultures, aligns with Cooley's concept of the looking glass self, which posits that individuals construct their sense of self based on how they believe others perceive them. Within the context of education, pupils' identity formation is </w:t>
      </w:r>
      <w:r w:rsidRPr="00D07D4C">
        <w:rPr>
          <w:rFonts w:ascii="Century Gothic" w:hAnsi="Century Gothic" w:cstheme="majorHAnsi"/>
          <w:lang w:val="en-GB"/>
        </w:rPr>
        <w:lastRenderedPageBreak/>
        <w:t>shaped by labels that are attributed to them, such as being a high achiever or a low achiever, which can influence their beliefs about their abilities.</w:t>
      </w:r>
    </w:p>
    <w:p w14:paraId="5DD1FB21" w14:textId="2567913C" w:rsidR="006F62BB" w:rsidRPr="00D07D4C" w:rsidRDefault="006F62BB" w:rsidP="00D07D4C">
      <w:pPr>
        <w:rPr>
          <w:rFonts w:ascii="Century Gothic" w:hAnsi="Century Gothic" w:cstheme="majorHAnsi"/>
          <w:lang w:val="en-GB"/>
        </w:rPr>
      </w:pPr>
      <w:r w:rsidRPr="00D07D4C">
        <w:rPr>
          <w:rFonts w:ascii="Century Gothic" w:hAnsi="Century Gothic" w:cstheme="majorHAnsi"/>
          <w:lang w:val="en-GB"/>
        </w:rPr>
        <w:t xml:space="preserve">We will now explore the mechanisms and factors that operate within schools to shape pupil identities. The first concept to consider is symbolic capital, which pertains to an individual's status, recognition, and sense of worth as attributed by others. Symbolic capital is interconnected with Cooley's looking glass self, in that it is primarily regulated by peer groups. In school, peer groups can reinforce gender-appropriate </w:t>
      </w:r>
      <w:r w:rsidR="002644AB" w:rsidRPr="00D07D4C">
        <w:rPr>
          <w:rFonts w:ascii="Century Gothic" w:hAnsi="Century Gothic" w:cstheme="majorHAnsi"/>
          <w:lang w:val="en-GB"/>
        </w:rPr>
        <w:t>behaviour</w:t>
      </w:r>
      <w:r w:rsidRPr="00D07D4C">
        <w:rPr>
          <w:rFonts w:ascii="Century Gothic" w:hAnsi="Century Gothic" w:cstheme="majorHAnsi"/>
          <w:lang w:val="en-GB"/>
        </w:rPr>
        <w:t xml:space="preserve"> and punish deviations from gender norms. Louise Archer's research highlights how working-class girls may acquire symbolic capital by conforming to a hyper-</w:t>
      </w:r>
      <w:r w:rsidR="002644AB" w:rsidRPr="00D07D4C">
        <w:rPr>
          <w:rFonts w:ascii="Century Gothic" w:hAnsi="Century Gothic" w:cstheme="majorHAnsi"/>
          <w:lang w:val="en-GB"/>
        </w:rPr>
        <w:t>heterosexualised</w:t>
      </w:r>
      <w:r w:rsidRPr="00D07D4C">
        <w:rPr>
          <w:rFonts w:ascii="Century Gothic" w:hAnsi="Century Gothic" w:cstheme="majorHAnsi"/>
          <w:lang w:val="en-GB"/>
        </w:rPr>
        <w:t xml:space="preserve"> feminine identity, which emphasizes physical appearance and socializing with boys over academic pursuits. Such </w:t>
      </w:r>
      <w:r w:rsidR="002644AB" w:rsidRPr="00D07D4C">
        <w:rPr>
          <w:rFonts w:ascii="Century Gothic" w:hAnsi="Century Gothic" w:cstheme="majorHAnsi"/>
          <w:lang w:val="en-GB"/>
        </w:rPr>
        <w:t>behaviour</w:t>
      </w:r>
      <w:r w:rsidRPr="00D07D4C">
        <w:rPr>
          <w:rFonts w:ascii="Century Gothic" w:hAnsi="Century Gothic" w:cstheme="majorHAnsi"/>
          <w:lang w:val="en-GB"/>
        </w:rPr>
        <w:t xml:space="preserve"> can result in conflict with schools, which view a preoccupation with appearance as a distraction from learning. Girls who seek to gain symbolic capital may flout school rules on dress and grooming, which can lead to negative labels, such as being seen as incapable of academic success. Archer characterizes this process as othering, which involves marginalizing certain individuals based on their perceived inability to conform to school expectations.</w:t>
      </w:r>
    </w:p>
    <w:p w14:paraId="5B143B63" w14:textId="46C97069" w:rsidR="00D174C8" w:rsidRPr="00D07D4C" w:rsidRDefault="002644AB" w:rsidP="00D07D4C">
      <w:pPr>
        <w:rPr>
          <w:rFonts w:ascii="Century Gothic" w:hAnsi="Century Gothic" w:cstheme="majorHAnsi"/>
          <w:lang w:val="en-GB"/>
        </w:rPr>
      </w:pPr>
      <w:r>
        <w:rPr>
          <w:rFonts w:ascii="Century Gothic" w:hAnsi="Century Gothic" w:cstheme="majorHAnsi"/>
          <w:lang w:val="en-GB"/>
        </w:rPr>
        <w:t>S</w:t>
      </w:r>
      <w:r w:rsidR="00D174C8" w:rsidRPr="00D07D4C">
        <w:rPr>
          <w:rFonts w:ascii="Century Gothic" w:hAnsi="Century Gothic" w:cstheme="majorHAnsi"/>
          <w:lang w:val="en-GB"/>
        </w:rPr>
        <w:t>ymbolic violence is a concept introduced by Bourdieu. It refers to the way in which certain groups maintain an advantage over others, not through physical force but through the power to make others feel inferior. The higher status group possesses symbolic capital, which is derived from the labels they wear and the cultural values they embody. This advantage is particularly evident within the education system, which is dominated by the middle class and therefore seen as culturally superior. As a result, subcultures such as the working class, hypersexualized feminine, and anti-school subcultures are viewed as inferior and incapable of achieving success in education. This can create a sense of hopelessness and a belief that academic achievement is not possible.</w:t>
      </w:r>
    </w:p>
    <w:p w14:paraId="32371AAF" w14:textId="77777777" w:rsidR="00D174C8" w:rsidRPr="00D07D4C" w:rsidRDefault="00D174C8" w:rsidP="00D07D4C">
      <w:pPr>
        <w:rPr>
          <w:rFonts w:ascii="Century Gothic" w:hAnsi="Century Gothic" w:cstheme="majorHAnsi"/>
          <w:lang w:val="en-GB"/>
        </w:rPr>
      </w:pPr>
      <w:r w:rsidRPr="00D07D4C">
        <w:rPr>
          <w:rFonts w:ascii="Century Gothic" w:hAnsi="Century Gothic" w:cstheme="majorHAnsi"/>
          <w:lang w:val="en-GB"/>
        </w:rPr>
        <w:t>Diane Reay has also explored the role of the school environment in perpetuating these inequalities. Specifically, she has examined how the public image of schools, as portrayed in marketing materials and other forms of publicity, can discourage working-class students from attending high-achieving schools. These students may feel unworthy of attending such schools and instead see themselves as only capable of attending poor-quality schools. This perception can lead to a self-fulfilling prophecy in which students believe that they are bad students simply because they attend a bad school.</w:t>
      </w:r>
    </w:p>
    <w:p w14:paraId="480D93E1" w14:textId="77777777" w:rsidR="003B4EAB" w:rsidRPr="00D07D4C" w:rsidRDefault="003B4EAB" w:rsidP="00D07D4C">
      <w:pPr>
        <w:rPr>
          <w:rFonts w:ascii="Century Gothic" w:hAnsi="Century Gothic" w:cstheme="majorHAnsi"/>
          <w:lang w:val="en-GB"/>
        </w:rPr>
      </w:pPr>
      <w:r w:rsidRPr="00D07D4C">
        <w:rPr>
          <w:rFonts w:ascii="Century Gothic" w:hAnsi="Century Gothic" w:cstheme="majorHAnsi"/>
          <w:lang w:val="en-GB"/>
        </w:rPr>
        <w:t xml:space="preserve">In examining the curriculum, it is necessary to also consider the concept of ethnocentrism. This refers to a curriculum that places emphasis on a specific culture or ethnic group. In the context of the United Kingdom, the ethnocentric curriculum primarily focuses on British history and culture, thereby reinforcing it. Ball referred to this as "little Englandism," which leads to feelings of rejection by ethnic minority groups who do not feel represented in the education system. The school calendar and the meals provided also reflect British cultural norms, and uniforms often do not accommodate cultural variations such as hijabs or longer skirts. This type of ethnocentric curriculum conveys to ethnic minority students that they are unworthy of </w:t>
      </w:r>
      <w:r w:rsidRPr="00D07D4C">
        <w:rPr>
          <w:rFonts w:ascii="Century Gothic" w:hAnsi="Century Gothic" w:cstheme="majorHAnsi"/>
          <w:lang w:val="en-GB"/>
        </w:rPr>
        <w:lastRenderedPageBreak/>
        <w:t>education, and that their inability to relate to the curriculum is due to their supposed lack of intelligence, rather than cultural differences. It is important to note that while such generalizations are made, change is occurring. Nonetheless, an ethnocentric curriculum may result in students feeling inferior due to their inability to connect with the material taught.</w:t>
      </w:r>
    </w:p>
    <w:p w14:paraId="1FA88C14" w14:textId="77777777" w:rsidR="00285A85" w:rsidRPr="00D07D4C" w:rsidRDefault="00285A85" w:rsidP="00D07D4C">
      <w:pPr>
        <w:rPr>
          <w:rFonts w:ascii="Century Gothic" w:hAnsi="Century Gothic" w:cstheme="majorHAnsi"/>
          <w:lang w:val="en-GB"/>
        </w:rPr>
      </w:pPr>
      <w:r w:rsidRPr="00D07D4C">
        <w:rPr>
          <w:rFonts w:ascii="Century Gothic" w:hAnsi="Century Gothic" w:cstheme="majorHAnsi"/>
          <w:lang w:val="en-GB"/>
        </w:rPr>
        <w:t>Subject choice at GCSE and A level can serve to reinforce gender stereotypes and identities. This phenomenon is evidenced by the tendency of girls to select more expressive subjects such as English, drama, music, and sociology, while boys tend to favor more instrumental subjects, such as computer science, technology, law, history, and politics, which are viewed as more practical and masculine. The association of certain subjects with gender can reinforce narrow notions of what it means to be masculine or feminine, which may impact how students perceive themselves and their potential. However, contemporary efforts to promote gender-neutral approaches to subject selection have emerged, such as the GIST (Girls in Science and Technology) and WISE (Women in Science and Engineering) initiatives aimed at encouraging girls to pursue science and technology. Furthermore, examples of successful individuals in various fields, such as actors, musicians, hairdressers, and chefs, are promoting the idea that boys and men can excel in traditionally "feminine" subjects.</w:t>
      </w:r>
    </w:p>
    <w:p w14:paraId="0285AE7E" w14:textId="77777777" w:rsidR="00152E9C" w:rsidRPr="00D07D4C" w:rsidRDefault="00152E9C" w:rsidP="00D07D4C">
      <w:pPr>
        <w:rPr>
          <w:rFonts w:ascii="Century Gothic" w:hAnsi="Century Gothic" w:cstheme="majorHAnsi"/>
          <w:lang w:val="en-GB"/>
        </w:rPr>
      </w:pPr>
      <w:r w:rsidRPr="00D07D4C">
        <w:rPr>
          <w:rFonts w:ascii="Century Gothic" w:hAnsi="Century Gothic" w:cstheme="majorHAnsi"/>
          <w:lang w:val="en-GB"/>
        </w:rPr>
        <w:t>The wearing of uniforms is closely linked to the construction and reinforcement of gender identity, whereby standards of dress are utilized as a means of shaping such identity. The Boys Uniform Code stipulates a straightforward dress code consisting of a tie, shirt, jacket, smart suit trousers, and appropriate footwear. In contrast, girls are offered a greater degree of choice; however, their dress is heavily regulated with strict guidelines governing skirt length, neckline, and the type of sleeves that can be worn. The policing of these standards is reflective of a societal expectation of what it means to be female or feminine, and what it means to be male or masculine. Failure to conform to these dress standards often results in punitive measures. Symbolic violence is at play, whereby failure to adhere to the highest standards of dress results in a sense of inferiority and subordination. Girls are particularly susceptible to this type of violence, whereby failure to conform to dress codes results in social censure and punishment. Such processes are reflective of the ways in which society enforces gendered norms and perpetuates gender inequality.</w:t>
      </w:r>
    </w:p>
    <w:p w14:paraId="06CE7133" w14:textId="3BB8A7B6" w:rsidR="00E764B8" w:rsidRPr="00D07D4C" w:rsidRDefault="004A0AC8" w:rsidP="00D07D4C">
      <w:pPr>
        <w:rPr>
          <w:rFonts w:ascii="Century Gothic" w:hAnsi="Century Gothic" w:cstheme="majorHAnsi"/>
          <w:lang w:val="en-GB"/>
        </w:rPr>
      </w:pPr>
      <w:r w:rsidRPr="00D07D4C">
        <w:rPr>
          <w:rFonts w:ascii="Century Gothic" w:hAnsi="Century Gothic" w:cstheme="majorHAnsi"/>
          <w:lang w:val="en-GB"/>
        </w:rPr>
        <w:t>subcultures play a significant role in shaping a student's identity. The anti-school and pro-school subcultures, in particular, have been observed to impact how students perceive their worth and how they gain symbolic capital. Sociologists Fuller and Willis have delved into the connection between subcultures and symbolic capital, which influences a student's status among their peers and within their school. Furthermore, labelling can have both positive and negative effects on a student's self-esteem and self-image. If a student is labelled negatively, they may believe that academic success is beyond their capabilities, while a positive label may encourage them to strive for academic excellence.</w:t>
      </w:r>
    </w:p>
    <w:p w14:paraId="4FCF65FE" w14:textId="77777777" w:rsidR="00D07D4C" w:rsidRPr="00D07D4C" w:rsidRDefault="00D07D4C" w:rsidP="00D07D4C">
      <w:pPr>
        <w:rPr>
          <w:rFonts w:ascii="Century Gothic" w:hAnsi="Century Gothic" w:cstheme="majorHAnsi"/>
          <w:lang w:val="en-GB"/>
        </w:rPr>
      </w:pPr>
      <w:r w:rsidRPr="00D07D4C">
        <w:rPr>
          <w:rFonts w:ascii="Century Gothic" w:hAnsi="Century Gothic" w:cstheme="majorHAnsi"/>
          <w:lang w:val="en-GB"/>
        </w:rPr>
        <w:t xml:space="preserve">In the field of sociology, the discourse surrounding pupil identities and subcultures highlights the significant impact of school processes and roles on student behaviour and attitudes. </w:t>
      </w:r>
      <w:r w:rsidRPr="00D07D4C">
        <w:rPr>
          <w:rFonts w:ascii="Century Gothic" w:hAnsi="Century Gothic" w:cstheme="majorHAnsi"/>
          <w:lang w:val="en-GB"/>
        </w:rPr>
        <w:lastRenderedPageBreak/>
        <w:t>Examples of these factors include the school uniform, hidden curriculum, labelling and groupings, which may influence the formation of Pro and anti school subcultures. Furthermore, the aforementioned elements play a critical role in shaping a student's self-perception as a learner. As a consequence, students may identify themselves as academic achievers, pro school individuals, underachievers, or view school as a waste of time. It is essential to understand these complex dynamics when discussing the construction of pupil identities and subcultures in a school setting.</w:t>
      </w:r>
    </w:p>
    <w:p w14:paraId="696A38C9" w14:textId="2DC3E906" w:rsidR="001B1B1D" w:rsidRPr="00D07D4C" w:rsidRDefault="001B1B1D" w:rsidP="00D07D4C">
      <w:pPr>
        <w:rPr>
          <w:rFonts w:ascii="Century Gothic" w:hAnsi="Century Gothic" w:cstheme="majorHAnsi"/>
          <w:lang w:val="en-GB"/>
        </w:rPr>
      </w:pPr>
    </w:p>
    <w:sectPr w:rsidR="001B1B1D" w:rsidRPr="00D07D4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FCA4" w14:textId="77777777" w:rsidR="00977A4B" w:rsidRDefault="00977A4B">
      <w:pPr>
        <w:spacing w:after="0" w:line="240" w:lineRule="auto"/>
      </w:pPr>
      <w:r>
        <w:separator/>
      </w:r>
    </w:p>
  </w:endnote>
  <w:endnote w:type="continuationSeparator" w:id="0">
    <w:p w14:paraId="0404290A" w14:textId="77777777" w:rsidR="00977A4B" w:rsidRDefault="0097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B49F2F0" w14:textId="30EBAA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95079">
          <w:rPr>
            <w:rStyle w:val="PageNumber"/>
          </w:rPr>
          <w:fldChar w:fldCharType="separate"/>
        </w:r>
        <w:r w:rsidR="00C95079">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Content>
      <w:p w14:paraId="17BA4339" w14:textId="3BB1182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95079">
          <w:rPr>
            <w:rStyle w:val="PageNumber"/>
          </w:rPr>
          <w:fldChar w:fldCharType="separate"/>
        </w:r>
        <w:r w:rsidR="00C95079">
          <w:rPr>
            <w:rStyle w:val="PageNumber"/>
            <w:noProof/>
          </w:rPr>
          <w:t>- 3 -</w: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00278B95" w:rsidR="00930F33" w:rsidRPr="009C3AF0" w:rsidRDefault="00930F33" w:rsidP="00C95079">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C33A" w14:textId="77777777" w:rsidR="00977A4B" w:rsidRDefault="00977A4B">
      <w:pPr>
        <w:spacing w:after="0" w:line="240" w:lineRule="auto"/>
      </w:pPr>
      <w:r>
        <w:separator/>
      </w:r>
    </w:p>
  </w:footnote>
  <w:footnote w:type="continuationSeparator" w:id="0">
    <w:p w14:paraId="61F1C69E" w14:textId="77777777" w:rsidR="00977A4B" w:rsidRDefault="00977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5423422">
    <w:abstractNumId w:val="8"/>
  </w:num>
  <w:num w:numId="2" w16cid:durableId="1288244774">
    <w:abstractNumId w:val="6"/>
  </w:num>
  <w:num w:numId="3" w16cid:durableId="1016493422">
    <w:abstractNumId w:val="5"/>
  </w:num>
  <w:num w:numId="4" w16cid:durableId="973633706">
    <w:abstractNumId w:val="4"/>
  </w:num>
  <w:num w:numId="5" w16cid:durableId="1159232212">
    <w:abstractNumId w:val="7"/>
  </w:num>
  <w:num w:numId="6" w16cid:durableId="1757701243">
    <w:abstractNumId w:val="3"/>
  </w:num>
  <w:num w:numId="7" w16cid:durableId="2021932146">
    <w:abstractNumId w:val="2"/>
  </w:num>
  <w:num w:numId="8" w16cid:durableId="231890424">
    <w:abstractNumId w:val="1"/>
  </w:num>
  <w:num w:numId="9" w16cid:durableId="63380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EDA"/>
    <w:rsid w:val="00036AFB"/>
    <w:rsid w:val="00050A6B"/>
    <w:rsid w:val="0006063C"/>
    <w:rsid w:val="00063365"/>
    <w:rsid w:val="00066610"/>
    <w:rsid w:val="000B1454"/>
    <w:rsid w:val="000C705A"/>
    <w:rsid w:val="001216B9"/>
    <w:rsid w:val="0015074B"/>
    <w:rsid w:val="00152E9C"/>
    <w:rsid w:val="001621C6"/>
    <w:rsid w:val="001640A4"/>
    <w:rsid w:val="00171992"/>
    <w:rsid w:val="001861E0"/>
    <w:rsid w:val="001A3398"/>
    <w:rsid w:val="001B1B1D"/>
    <w:rsid w:val="001C09AC"/>
    <w:rsid w:val="0023768A"/>
    <w:rsid w:val="002644AB"/>
    <w:rsid w:val="00285A85"/>
    <w:rsid w:val="0029639D"/>
    <w:rsid w:val="002C0304"/>
    <w:rsid w:val="003018D7"/>
    <w:rsid w:val="00326F90"/>
    <w:rsid w:val="003306EC"/>
    <w:rsid w:val="00332776"/>
    <w:rsid w:val="003B4EAB"/>
    <w:rsid w:val="004852A6"/>
    <w:rsid w:val="004A0AC8"/>
    <w:rsid w:val="004A641F"/>
    <w:rsid w:val="004B593C"/>
    <w:rsid w:val="004C53D4"/>
    <w:rsid w:val="00556142"/>
    <w:rsid w:val="005718DC"/>
    <w:rsid w:val="005B7407"/>
    <w:rsid w:val="006A2721"/>
    <w:rsid w:val="006A6632"/>
    <w:rsid w:val="006E2A8C"/>
    <w:rsid w:val="006F62BB"/>
    <w:rsid w:val="006F6FC6"/>
    <w:rsid w:val="00744A26"/>
    <w:rsid w:val="007749AF"/>
    <w:rsid w:val="00794EBC"/>
    <w:rsid w:val="007B0D15"/>
    <w:rsid w:val="007E56E7"/>
    <w:rsid w:val="00855628"/>
    <w:rsid w:val="008969E7"/>
    <w:rsid w:val="0091485E"/>
    <w:rsid w:val="00930F33"/>
    <w:rsid w:val="00954138"/>
    <w:rsid w:val="00977A4B"/>
    <w:rsid w:val="009C3AF0"/>
    <w:rsid w:val="009C6BD1"/>
    <w:rsid w:val="009D02DE"/>
    <w:rsid w:val="00A12EE5"/>
    <w:rsid w:val="00A27BD2"/>
    <w:rsid w:val="00A3422F"/>
    <w:rsid w:val="00A455B2"/>
    <w:rsid w:val="00A5596F"/>
    <w:rsid w:val="00A95B05"/>
    <w:rsid w:val="00AA09EC"/>
    <w:rsid w:val="00AA1D8D"/>
    <w:rsid w:val="00AD7AF8"/>
    <w:rsid w:val="00B47730"/>
    <w:rsid w:val="00B50D25"/>
    <w:rsid w:val="00B727B0"/>
    <w:rsid w:val="00B91063"/>
    <w:rsid w:val="00BA4C2B"/>
    <w:rsid w:val="00BD0140"/>
    <w:rsid w:val="00C000D1"/>
    <w:rsid w:val="00C24502"/>
    <w:rsid w:val="00C419E3"/>
    <w:rsid w:val="00C86FDA"/>
    <w:rsid w:val="00C95079"/>
    <w:rsid w:val="00C95473"/>
    <w:rsid w:val="00CB0664"/>
    <w:rsid w:val="00CC653F"/>
    <w:rsid w:val="00D07D4C"/>
    <w:rsid w:val="00D174C8"/>
    <w:rsid w:val="00D341C5"/>
    <w:rsid w:val="00D35BF4"/>
    <w:rsid w:val="00D57E81"/>
    <w:rsid w:val="00DA0519"/>
    <w:rsid w:val="00E24DD4"/>
    <w:rsid w:val="00E764B8"/>
    <w:rsid w:val="00EB40BF"/>
    <w:rsid w:val="00ED3244"/>
    <w:rsid w:val="00EE4356"/>
    <w:rsid w:val="00F22841"/>
    <w:rsid w:val="00F72230"/>
    <w:rsid w:val="00FA780F"/>
    <w:rsid w:val="00FB5678"/>
    <w:rsid w:val="00FC693F"/>
    <w:rsid w:val="00FE3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0B145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81147">
      <w:bodyDiv w:val="1"/>
      <w:marLeft w:val="0"/>
      <w:marRight w:val="0"/>
      <w:marTop w:val="0"/>
      <w:marBottom w:val="0"/>
      <w:divBdr>
        <w:top w:val="none" w:sz="0" w:space="0" w:color="auto"/>
        <w:left w:val="none" w:sz="0" w:space="0" w:color="auto"/>
        <w:bottom w:val="none" w:sz="0" w:space="0" w:color="auto"/>
        <w:right w:val="none" w:sz="0" w:space="0" w:color="auto"/>
      </w:divBdr>
      <w:divsChild>
        <w:div w:id="1206139495">
          <w:marLeft w:val="0"/>
          <w:marRight w:val="0"/>
          <w:marTop w:val="0"/>
          <w:marBottom w:val="0"/>
          <w:divBdr>
            <w:top w:val="single" w:sz="2" w:space="0" w:color="auto"/>
            <w:left w:val="single" w:sz="2" w:space="0" w:color="auto"/>
            <w:bottom w:val="single" w:sz="6" w:space="0" w:color="auto"/>
            <w:right w:val="single" w:sz="2" w:space="0" w:color="auto"/>
          </w:divBdr>
          <w:divsChild>
            <w:div w:id="913589108">
              <w:marLeft w:val="0"/>
              <w:marRight w:val="0"/>
              <w:marTop w:val="100"/>
              <w:marBottom w:val="100"/>
              <w:divBdr>
                <w:top w:val="single" w:sz="2" w:space="0" w:color="D9D9E3"/>
                <w:left w:val="single" w:sz="2" w:space="0" w:color="D9D9E3"/>
                <w:bottom w:val="single" w:sz="2" w:space="0" w:color="D9D9E3"/>
                <w:right w:val="single" w:sz="2" w:space="0" w:color="D9D9E3"/>
              </w:divBdr>
              <w:divsChild>
                <w:div w:id="1306932813">
                  <w:marLeft w:val="0"/>
                  <w:marRight w:val="0"/>
                  <w:marTop w:val="0"/>
                  <w:marBottom w:val="0"/>
                  <w:divBdr>
                    <w:top w:val="single" w:sz="2" w:space="0" w:color="D9D9E3"/>
                    <w:left w:val="single" w:sz="2" w:space="0" w:color="D9D9E3"/>
                    <w:bottom w:val="single" w:sz="2" w:space="0" w:color="D9D9E3"/>
                    <w:right w:val="single" w:sz="2" w:space="0" w:color="D9D9E3"/>
                  </w:divBdr>
                  <w:divsChild>
                    <w:div w:id="1595282188">
                      <w:marLeft w:val="0"/>
                      <w:marRight w:val="0"/>
                      <w:marTop w:val="0"/>
                      <w:marBottom w:val="0"/>
                      <w:divBdr>
                        <w:top w:val="single" w:sz="2" w:space="0" w:color="D9D9E3"/>
                        <w:left w:val="single" w:sz="2" w:space="0" w:color="D9D9E3"/>
                        <w:bottom w:val="single" w:sz="2" w:space="0" w:color="D9D9E3"/>
                        <w:right w:val="single" w:sz="2" w:space="0" w:color="D9D9E3"/>
                      </w:divBdr>
                      <w:divsChild>
                        <w:div w:id="738862068">
                          <w:marLeft w:val="0"/>
                          <w:marRight w:val="0"/>
                          <w:marTop w:val="0"/>
                          <w:marBottom w:val="0"/>
                          <w:divBdr>
                            <w:top w:val="single" w:sz="2" w:space="0" w:color="D9D9E3"/>
                            <w:left w:val="single" w:sz="2" w:space="0" w:color="D9D9E3"/>
                            <w:bottom w:val="single" w:sz="2" w:space="0" w:color="D9D9E3"/>
                            <w:right w:val="single" w:sz="2" w:space="0" w:color="D9D9E3"/>
                          </w:divBdr>
                          <w:divsChild>
                            <w:div w:id="337082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48312486">
      <w:bodyDiv w:val="1"/>
      <w:marLeft w:val="0"/>
      <w:marRight w:val="0"/>
      <w:marTop w:val="0"/>
      <w:marBottom w:val="0"/>
      <w:divBdr>
        <w:top w:val="none" w:sz="0" w:space="0" w:color="auto"/>
        <w:left w:val="none" w:sz="0" w:space="0" w:color="auto"/>
        <w:bottom w:val="none" w:sz="0" w:space="0" w:color="auto"/>
        <w:right w:val="none" w:sz="0" w:space="0" w:color="auto"/>
      </w:divBdr>
      <w:divsChild>
        <w:div w:id="865943494">
          <w:marLeft w:val="0"/>
          <w:marRight w:val="0"/>
          <w:marTop w:val="0"/>
          <w:marBottom w:val="0"/>
          <w:divBdr>
            <w:top w:val="single" w:sz="2" w:space="0" w:color="auto"/>
            <w:left w:val="single" w:sz="2" w:space="0" w:color="auto"/>
            <w:bottom w:val="single" w:sz="6" w:space="0" w:color="auto"/>
            <w:right w:val="single" w:sz="2" w:space="0" w:color="auto"/>
          </w:divBdr>
          <w:divsChild>
            <w:div w:id="528376737">
              <w:marLeft w:val="0"/>
              <w:marRight w:val="0"/>
              <w:marTop w:val="100"/>
              <w:marBottom w:val="100"/>
              <w:divBdr>
                <w:top w:val="single" w:sz="2" w:space="0" w:color="D9D9E3"/>
                <w:left w:val="single" w:sz="2" w:space="0" w:color="D9D9E3"/>
                <w:bottom w:val="single" w:sz="2" w:space="0" w:color="D9D9E3"/>
                <w:right w:val="single" w:sz="2" w:space="0" w:color="D9D9E3"/>
              </w:divBdr>
              <w:divsChild>
                <w:div w:id="1652708515">
                  <w:marLeft w:val="0"/>
                  <w:marRight w:val="0"/>
                  <w:marTop w:val="0"/>
                  <w:marBottom w:val="0"/>
                  <w:divBdr>
                    <w:top w:val="single" w:sz="2" w:space="0" w:color="D9D9E3"/>
                    <w:left w:val="single" w:sz="2" w:space="0" w:color="D9D9E3"/>
                    <w:bottom w:val="single" w:sz="2" w:space="0" w:color="D9D9E3"/>
                    <w:right w:val="single" w:sz="2" w:space="0" w:color="D9D9E3"/>
                  </w:divBdr>
                  <w:divsChild>
                    <w:div w:id="643657665">
                      <w:marLeft w:val="0"/>
                      <w:marRight w:val="0"/>
                      <w:marTop w:val="0"/>
                      <w:marBottom w:val="0"/>
                      <w:divBdr>
                        <w:top w:val="single" w:sz="2" w:space="0" w:color="D9D9E3"/>
                        <w:left w:val="single" w:sz="2" w:space="0" w:color="D9D9E3"/>
                        <w:bottom w:val="single" w:sz="2" w:space="0" w:color="D9D9E3"/>
                        <w:right w:val="single" w:sz="2" w:space="0" w:color="D9D9E3"/>
                      </w:divBdr>
                      <w:divsChild>
                        <w:div w:id="806364454">
                          <w:marLeft w:val="0"/>
                          <w:marRight w:val="0"/>
                          <w:marTop w:val="0"/>
                          <w:marBottom w:val="0"/>
                          <w:divBdr>
                            <w:top w:val="single" w:sz="2" w:space="0" w:color="D9D9E3"/>
                            <w:left w:val="single" w:sz="2" w:space="0" w:color="D9D9E3"/>
                            <w:bottom w:val="single" w:sz="2" w:space="0" w:color="D9D9E3"/>
                            <w:right w:val="single" w:sz="2" w:space="0" w:color="D9D9E3"/>
                          </w:divBdr>
                          <w:divsChild>
                            <w:div w:id="6975842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045707">
      <w:bodyDiv w:val="1"/>
      <w:marLeft w:val="0"/>
      <w:marRight w:val="0"/>
      <w:marTop w:val="0"/>
      <w:marBottom w:val="0"/>
      <w:divBdr>
        <w:top w:val="none" w:sz="0" w:space="0" w:color="auto"/>
        <w:left w:val="none" w:sz="0" w:space="0" w:color="auto"/>
        <w:bottom w:val="none" w:sz="0" w:space="0" w:color="auto"/>
        <w:right w:val="none" w:sz="0" w:space="0" w:color="auto"/>
      </w:divBdr>
    </w:div>
    <w:div w:id="1027411133">
      <w:bodyDiv w:val="1"/>
      <w:marLeft w:val="0"/>
      <w:marRight w:val="0"/>
      <w:marTop w:val="0"/>
      <w:marBottom w:val="0"/>
      <w:divBdr>
        <w:top w:val="none" w:sz="0" w:space="0" w:color="auto"/>
        <w:left w:val="none" w:sz="0" w:space="0" w:color="auto"/>
        <w:bottom w:val="none" w:sz="0" w:space="0" w:color="auto"/>
        <w:right w:val="none" w:sz="0" w:space="0" w:color="auto"/>
      </w:divBdr>
    </w:div>
    <w:div w:id="1063867373">
      <w:bodyDiv w:val="1"/>
      <w:marLeft w:val="0"/>
      <w:marRight w:val="0"/>
      <w:marTop w:val="0"/>
      <w:marBottom w:val="0"/>
      <w:divBdr>
        <w:top w:val="none" w:sz="0" w:space="0" w:color="auto"/>
        <w:left w:val="none" w:sz="0" w:space="0" w:color="auto"/>
        <w:bottom w:val="none" w:sz="0" w:space="0" w:color="auto"/>
        <w:right w:val="none" w:sz="0" w:space="0" w:color="auto"/>
      </w:divBdr>
      <w:divsChild>
        <w:div w:id="913317732">
          <w:marLeft w:val="0"/>
          <w:marRight w:val="0"/>
          <w:marTop w:val="0"/>
          <w:marBottom w:val="0"/>
          <w:divBdr>
            <w:top w:val="single" w:sz="2" w:space="0" w:color="auto"/>
            <w:left w:val="single" w:sz="2" w:space="0" w:color="auto"/>
            <w:bottom w:val="single" w:sz="6" w:space="0" w:color="auto"/>
            <w:right w:val="single" w:sz="2" w:space="0" w:color="auto"/>
          </w:divBdr>
          <w:divsChild>
            <w:div w:id="1114137341">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581946">
                  <w:marLeft w:val="0"/>
                  <w:marRight w:val="0"/>
                  <w:marTop w:val="0"/>
                  <w:marBottom w:val="0"/>
                  <w:divBdr>
                    <w:top w:val="single" w:sz="2" w:space="0" w:color="D9D9E3"/>
                    <w:left w:val="single" w:sz="2" w:space="0" w:color="D9D9E3"/>
                    <w:bottom w:val="single" w:sz="2" w:space="0" w:color="D9D9E3"/>
                    <w:right w:val="single" w:sz="2" w:space="0" w:color="D9D9E3"/>
                  </w:divBdr>
                  <w:divsChild>
                    <w:div w:id="168760850">
                      <w:marLeft w:val="0"/>
                      <w:marRight w:val="0"/>
                      <w:marTop w:val="0"/>
                      <w:marBottom w:val="0"/>
                      <w:divBdr>
                        <w:top w:val="single" w:sz="2" w:space="0" w:color="D9D9E3"/>
                        <w:left w:val="single" w:sz="2" w:space="0" w:color="D9D9E3"/>
                        <w:bottom w:val="single" w:sz="2" w:space="0" w:color="D9D9E3"/>
                        <w:right w:val="single" w:sz="2" w:space="0" w:color="D9D9E3"/>
                      </w:divBdr>
                      <w:divsChild>
                        <w:div w:id="2029333184">
                          <w:marLeft w:val="0"/>
                          <w:marRight w:val="0"/>
                          <w:marTop w:val="0"/>
                          <w:marBottom w:val="0"/>
                          <w:divBdr>
                            <w:top w:val="single" w:sz="2" w:space="0" w:color="D9D9E3"/>
                            <w:left w:val="single" w:sz="2" w:space="0" w:color="D9D9E3"/>
                            <w:bottom w:val="single" w:sz="2" w:space="0" w:color="D9D9E3"/>
                            <w:right w:val="single" w:sz="2" w:space="0" w:color="D9D9E3"/>
                          </w:divBdr>
                          <w:divsChild>
                            <w:div w:id="1246959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3002863">
      <w:bodyDiv w:val="1"/>
      <w:marLeft w:val="0"/>
      <w:marRight w:val="0"/>
      <w:marTop w:val="0"/>
      <w:marBottom w:val="0"/>
      <w:divBdr>
        <w:top w:val="none" w:sz="0" w:space="0" w:color="auto"/>
        <w:left w:val="none" w:sz="0" w:space="0" w:color="auto"/>
        <w:bottom w:val="none" w:sz="0" w:space="0" w:color="auto"/>
        <w:right w:val="none" w:sz="0" w:space="0" w:color="auto"/>
      </w:divBdr>
      <w:divsChild>
        <w:div w:id="273052885">
          <w:marLeft w:val="0"/>
          <w:marRight w:val="0"/>
          <w:marTop w:val="0"/>
          <w:marBottom w:val="0"/>
          <w:divBdr>
            <w:top w:val="single" w:sz="2" w:space="0" w:color="auto"/>
            <w:left w:val="single" w:sz="2" w:space="0" w:color="auto"/>
            <w:bottom w:val="single" w:sz="6" w:space="0" w:color="auto"/>
            <w:right w:val="single" w:sz="2" w:space="0" w:color="auto"/>
          </w:divBdr>
          <w:divsChild>
            <w:div w:id="784888563">
              <w:marLeft w:val="0"/>
              <w:marRight w:val="0"/>
              <w:marTop w:val="100"/>
              <w:marBottom w:val="100"/>
              <w:divBdr>
                <w:top w:val="single" w:sz="2" w:space="0" w:color="D9D9E3"/>
                <w:left w:val="single" w:sz="2" w:space="0" w:color="D9D9E3"/>
                <w:bottom w:val="single" w:sz="2" w:space="0" w:color="D9D9E3"/>
                <w:right w:val="single" w:sz="2" w:space="0" w:color="D9D9E3"/>
              </w:divBdr>
              <w:divsChild>
                <w:div w:id="213392437">
                  <w:marLeft w:val="0"/>
                  <w:marRight w:val="0"/>
                  <w:marTop w:val="0"/>
                  <w:marBottom w:val="0"/>
                  <w:divBdr>
                    <w:top w:val="single" w:sz="2" w:space="0" w:color="D9D9E3"/>
                    <w:left w:val="single" w:sz="2" w:space="0" w:color="D9D9E3"/>
                    <w:bottom w:val="single" w:sz="2" w:space="0" w:color="D9D9E3"/>
                    <w:right w:val="single" w:sz="2" w:space="0" w:color="D9D9E3"/>
                  </w:divBdr>
                  <w:divsChild>
                    <w:div w:id="40134240">
                      <w:marLeft w:val="0"/>
                      <w:marRight w:val="0"/>
                      <w:marTop w:val="0"/>
                      <w:marBottom w:val="0"/>
                      <w:divBdr>
                        <w:top w:val="single" w:sz="2" w:space="0" w:color="D9D9E3"/>
                        <w:left w:val="single" w:sz="2" w:space="0" w:color="D9D9E3"/>
                        <w:bottom w:val="single" w:sz="2" w:space="0" w:color="D9D9E3"/>
                        <w:right w:val="single" w:sz="2" w:space="0" w:color="D9D9E3"/>
                      </w:divBdr>
                      <w:divsChild>
                        <w:div w:id="1673877347">
                          <w:marLeft w:val="0"/>
                          <w:marRight w:val="0"/>
                          <w:marTop w:val="0"/>
                          <w:marBottom w:val="0"/>
                          <w:divBdr>
                            <w:top w:val="single" w:sz="2" w:space="0" w:color="D9D9E3"/>
                            <w:left w:val="single" w:sz="2" w:space="0" w:color="D9D9E3"/>
                            <w:bottom w:val="single" w:sz="2" w:space="0" w:color="D9D9E3"/>
                            <w:right w:val="single" w:sz="2" w:space="0" w:color="D9D9E3"/>
                          </w:divBdr>
                          <w:divsChild>
                            <w:div w:id="719862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12260420">
      <w:bodyDiv w:val="1"/>
      <w:marLeft w:val="0"/>
      <w:marRight w:val="0"/>
      <w:marTop w:val="0"/>
      <w:marBottom w:val="0"/>
      <w:divBdr>
        <w:top w:val="none" w:sz="0" w:space="0" w:color="auto"/>
        <w:left w:val="none" w:sz="0" w:space="0" w:color="auto"/>
        <w:bottom w:val="none" w:sz="0" w:space="0" w:color="auto"/>
        <w:right w:val="none" w:sz="0" w:space="0" w:color="auto"/>
      </w:divBdr>
    </w:div>
    <w:div w:id="2048331698">
      <w:bodyDiv w:val="1"/>
      <w:marLeft w:val="0"/>
      <w:marRight w:val="0"/>
      <w:marTop w:val="0"/>
      <w:marBottom w:val="0"/>
      <w:divBdr>
        <w:top w:val="none" w:sz="0" w:space="0" w:color="auto"/>
        <w:left w:val="none" w:sz="0" w:space="0" w:color="auto"/>
        <w:bottom w:val="none" w:sz="0" w:space="0" w:color="auto"/>
        <w:right w:val="none" w:sz="0" w:space="0" w:color="auto"/>
      </w:divBdr>
      <w:divsChild>
        <w:div w:id="1083987493">
          <w:marLeft w:val="0"/>
          <w:marRight w:val="0"/>
          <w:marTop w:val="0"/>
          <w:marBottom w:val="0"/>
          <w:divBdr>
            <w:top w:val="single" w:sz="2" w:space="0" w:color="auto"/>
            <w:left w:val="single" w:sz="2" w:space="0" w:color="auto"/>
            <w:bottom w:val="single" w:sz="6" w:space="0" w:color="auto"/>
            <w:right w:val="single" w:sz="2" w:space="0" w:color="auto"/>
          </w:divBdr>
          <w:divsChild>
            <w:div w:id="1265648913">
              <w:marLeft w:val="0"/>
              <w:marRight w:val="0"/>
              <w:marTop w:val="100"/>
              <w:marBottom w:val="100"/>
              <w:divBdr>
                <w:top w:val="single" w:sz="2" w:space="0" w:color="D9D9E3"/>
                <w:left w:val="single" w:sz="2" w:space="0" w:color="D9D9E3"/>
                <w:bottom w:val="single" w:sz="2" w:space="0" w:color="D9D9E3"/>
                <w:right w:val="single" w:sz="2" w:space="0" w:color="D9D9E3"/>
              </w:divBdr>
              <w:divsChild>
                <w:div w:id="734158383">
                  <w:marLeft w:val="0"/>
                  <w:marRight w:val="0"/>
                  <w:marTop w:val="0"/>
                  <w:marBottom w:val="0"/>
                  <w:divBdr>
                    <w:top w:val="single" w:sz="2" w:space="0" w:color="D9D9E3"/>
                    <w:left w:val="single" w:sz="2" w:space="0" w:color="D9D9E3"/>
                    <w:bottom w:val="single" w:sz="2" w:space="0" w:color="D9D9E3"/>
                    <w:right w:val="single" w:sz="2" w:space="0" w:color="D9D9E3"/>
                  </w:divBdr>
                  <w:divsChild>
                    <w:div w:id="601913830">
                      <w:marLeft w:val="0"/>
                      <w:marRight w:val="0"/>
                      <w:marTop w:val="0"/>
                      <w:marBottom w:val="0"/>
                      <w:divBdr>
                        <w:top w:val="single" w:sz="2" w:space="0" w:color="D9D9E3"/>
                        <w:left w:val="single" w:sz="2" w:space="0" w:color="D9D9E3"/>
                        <w:bottom w:val="single" w:sz="2" w:space="0" w:color="D9D9E3"/>
                        <w:right w:val="single" w:sz="2" w:space="0" w:color="D9D9E3"/>
                      </w:divBdr>
                      <w:divsChild>
                        <w:div w:id="2115392685">
                          <w:marLeft w:val="0"/>
                          <w:marRight w:val="0"/>
                          <w:marTop w:val="0"/>
                          <w:marBottom w:val="0"/>
                          <w:divBdr>
                            <w:top w:val="single" w:sz="2" w:space="0" w:color="D9D9E3"/>
                            <w:left w:val="single" w:sz="2" w:space="0" w:color="D9D9E3"/>
                            <w:bottom w:val="single" w:sz="2" w:space="0" w:color="D9D9E3"/>
                            <w:right w:val="single" w:sz="2" w:space="0" w:color="D9D9E3"/>
                          </w:divBdr>
                          <w:divsChild>
                            <w:div w:id="1252423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01640476">
      <w:bodyDiv w:val="1"/>
      <w:marLeft w:val="0"/>
      <w:marRight w:val="0"/>
      <w:marTop w:val="0"/>
      <w:marBottom w:val="0"/>
      <w:divBdr>
        <w:top w:val="none" w:sz="0" w:space="0" w:color="auto"/>
        <w:left w:val="none" w:sz="0" w:space="0" w:color="auto"/>
        <w:bottom w:val="none" w:sz="0" w:space="0" w:color="auto"/>
        <w:right w:val="none" w:sz="0" w:space="0" w:color="auto"/>
      </w:divBdr>
      <w:divsChild>
        <w:div w:id="679434556">
          <w:marLeft w:val="0"/>
          <w:marRight w:val="0"/>
          <w:marTop w:val="0"/>
          <w:marBottom w:val="0"/>
          <w:divBdr>
            <w:top w:val="single" w:sz="2" w:space="0" w:color="auto"/>
            <w:left w:val="single" w:sz="2" w:space="0" w:color="auto"/>
            <w:bottom w:val="single" w:sz="6" w:space="0" w:color="auto"/>
            <w:right w:val="single" w:sz="2" w:space="0" w:color="auto"/>
          </w:divBdr>
          <w:divsChild>
            <w:div w:id="175771353">
              <w:marLeft w:val="0"/>
              <w:marRight w:val="0"/>
              <w:marTop w:val="100"/>
              <w:marBottom w:val="100"/>
              <w:divBdr>
                <w:top w:val="single" w:sz="2" w:space="0" w:color="D9D9E3"/>
                <w:left w:val="single" w:sz="2" w:space="0" w:color="D9D9E3"/>
                <w:bottom w:val="single" w:sz="2" w:space="0" w:color="D9D9E3"/>
                <w:right w:val="single" w:sz="2" w:space="0" w:color="D9D9E3"/>
              </w:divBdr>
              <w:divsChild>
                <w:div w:id="820731974">
                  <w:marLeft w:val="0"/>
                  <w:marRight w:val="0"/>
                  <w:marTop w:val="0"/>
                  <w:marBottom w:val="0"/>
                  <w:divBdr>
                    <w:top w:val="single" w:sz="2" w:space="0" w:color="D9D9E3"/>
                    <w:left w:val="single" w:sz="2" w:space="0" w:color="D9D9E3"/>
                    <w:bottom w:val="single" w:sz="2" w:space="0" w:color="D9D9E3"/>
                    <w:right w:val="single" w:sz="2" w:space="0" w:color="D9D9E3"/>
                  </w:divBdr>
                  <w:divsChild>
                    <w:div w:id="1481580040">
                      <w:marLeft w:val="0"/>
                      <w:marRight w:val="0"/>
                      <w:marTop w:val="0"/>
                      <w:marBottom w:val="0"/>
                      <w:divBdr>
                        <w:top w:val="single" w:sz="2" w:space="0" w:color="D9D9E3"/>
                        <w:left w:val="single" w:sz="2" w:space="0" w:color="D9D9E3"/>
                        <w:bottom w:val="single" w:sz="2" w:space="0" w:color="D9D9E3"/>
                        <w:right w:val="single" w:sz="2" w:space="0" w:color="D9D9E3"/>
                      </w:divBdr>
                      <w:divsChild>
                        <w:div w:id="1326979940">
                          <w:marLeft w:val="0"/>
                          <w:marRight w:val="0"/>
                          <w:marTop w:val="0"/>
                          <w:marBottom w:val="0"/>
                          <w:divBdr>
                            <w:top w:val="single" w:sz="2" w:space="0" w:color="D9D9E3"/>
                            <w:left w:val="single" w:sz="2" w:space="0" w:color="D9D9E3"/>
                            <w:bottom w:val="single" w:sz="2" w:space="0" w:color="D9D9E3"/>
                            <w:right w:val="single" w:sz="2" w:space="0" w:color="D9D9E3"/>
                          </w:divBdr>
                          <w:divsChild>
                            <w:div w:id="1504279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74</cp:revision>
  <dcterms:created xsi:type="dcterms:W3CDTF">2019-09-10T23:59:00Z</dcterms:created>
  <dcterms:modified xsi:type="dcterms:W3CDTF">2023-03-31T18:29:00Z</dcterms:modified>
  <cp:category/>
</cp:coreProperties>
</file>